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DE4" w:rsidRPr="00FC6A0D" w:rsidRDefault="00F842D7" w:rsidP="009A3FAD">
      <w:pPr>
        <w:spacing w:after="0"/>
        <w:rPr>
          <w:rFonts w:ascii="Space Ranger" w:hAnsi="Space Ranger"/>
          <w:color w:val="FF0000"/>
          <w:sz w:val="40"/>
          <w:szCs w:val="40"/>
        </w:rPr>
      </w:pPr>
      <w:r w:rsidRPr="00FC6A0D">
        <w:rPr>
          <w:rFonts w:ascii="Space Ranger" w:hAnsi="Space Ranger"/>
          <w:noProof/>
          <w:color w:val="FF0000"/>
          <w:sz w:val="40"/>
          <w:szCs w:val="40"/>
          <w:lang w:eastAsia="fr-FR"/>
        </w:rPr>
        <w:drawing>
          <wp:inline distT="0" distB="0" distL="0" distR="0">
            <wp:extent cx="3377778" cy="533333"/>
            <wp:effectExtent l="19050" t="0" r="0" b="0"/>
            <wp:docPr id="2" name="Image 1" descr="header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77778" cy="53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C6A0D">
        <w:rPr>
          <w:rFonts w:ascii="Space Ranger" w:hAnsi="Space Ranger"/>
          <w:color w:val="FF0000"/>
          <w:sz w:val="40"/>
          <w:szCs w:val="40"/>
        </w:rPr>
        <w:t>.com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 xml:space="preserve"> </w:t>
      </w:r>
      <w:r w:rsidR="00D95F43" w:rsidRPr="00FC6A0D">
        <w:rPr>
          <w:rFonts w:ascii="Space Ranger" w:hAnsi="Space Ranger"/>
          <w:color w:val="FF0000"/>
          <w:sz w:val="40"/>
          <w:szCs w:val="40"/>
        </w:rPr>
        <w:tab/>
      </w:r>
    </w:p>
    <w:p w:rsidR="00D114E7" w:rsidRPr="00E646FD" w:rsidRDefault="00A23A98" w:rsidP="00E31DEF">
      <w:pPr>
        <w:pBdr>
          <w:bottom w:val="single" w:sz="6" w:space="2" w:color="auto"/>
        </w:pBdr>
        <w:spacing w:after="0"/>
        <w:jc w:val="center"/>
        <w:rPr>
          <w:rFonts w:ascii="Book Antiqua" w:hAnsi="Book Antiqua"/>
          <w:b/>
          <w:bCs/>
          <w:color w:val="0070C0"/>
          <w:sz w:val="48"/>
          <w:szCs w:val="48"/>
        </w:rPr>
        <w:sectPr w:rsidR="00D114E7" w:rsidRPr="00E646FD" w:rsidSect="00D95F43">
          <w:footerReference w:type="default" r:id="rId9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096661">
        <w:rPr>
          <w:rFonts w:ascii="Book Antiqua" w:hAnsi="Book Antiqua"/>
          <w:b/>
          <w:bCs/>
          <w:color w:val="0070C0"/>
          <w:sz w:val="48"/>
          <w:szCs w:val="48"/>
        </w:rPr>
        <w:t xml:space="preserve">QCM sur </w:t>
      </w:r>
      <w:r w:rsidR="00E31DEF">
        <w:rPr>
          <w:rFonts w:ascii="Book Antiqua" w:hAnsi="Book Antiqua"/>
          <w:b/>
          <w:bCs/>
          <w:color w:val="0070C0"/>
          <w:sz w:val="48"/>
          <w:szCs w:val="48"/>
        </w:rPr>
        <w:t xml:space="preserve">l’hématome rétro-placentaire </w:t>
      </w:r>
      <w:r w:rsidR="0015722A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  <w:r w:rsidR="00B96DDC">
        <w:rPr>
          <w:rFonts w:ascii="Book Antiqua" w:hAnsi="Book Antiqua"/>
          <w:b/>
          <w:bCs/>
          <w:color w:val="0070C0"/>
          <w:sz w:val="48"/>
          <w:szCs w:val="48"/>
        </w:rPr>
        <w:t xml:space="preserve"> 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lastRenderedPageBreak/>
        <w:t xml:space="preserve">1- L’hématome rétro-placentaire: </w:t>
      </w:r>
    </w:p>
    <w:p w:rsidR="00E31DEF" w:rsidRPr="00D72122" w:rsidRDefault="00E31DEF" w:rsidP="00E31DEF">
      <w:pPr>
        <w:pStyle w:val="Paragraphedeliste"/>
        <w:numPr>
          <w:ilvl w:val="0"/>
          <w:numId w:val="3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est évoqué du fait du contexte vasculaire (HTA)</w:t>
      </w:r>
    </w:p>
    <w:p w:rsidR="00E31DEF" w:rsidRPr="00D72122" w:rsidRDefault="00E31DEF" w:rsidP="00E31DEF">
      <w:pPr>
        <w:pStyle w:val="Paragraphedeliste"/>
        <w:numPr>
          <w:ilvl w:val="0"/>
          <w:numId w:val="3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est évoqué sur des signes cliniques : métrorragies de sang rouge.</w:t>
      </w:r>
    </w:p>
    <w:p w:rsidR="00E31DEF" w:rsidRPr="00D72122" w:rsidRDefault="00E31DEF" w:rsidP="00E31DEF">
      <w:pPr>
        <w:pStyle w:val="Paragraphedeliste"/>
        <w:numPr>
          <w:ilvl w:val="0"/>
          <w:numId w:val="3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est évoqué sur des signes cliniques : sang noirâtre, douleurs, parfois choc. </w:t>
      </w:r>
    </w:p>
    <w:p w:rsidR="00E31DEF" w:rsidRPr="00D72122" w:rsidRDefault="00E31DEF" w:rsidP="00E31DEF">
      <w:pPr>
        <w:pStyle w:val="Paragraphedeliste"/>
        <w:numPr>
          <w:ilvl w:val="0"/>
          <w:numId w:val="3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met en jeu le pronostic fœtal.</w:t>
      </w:r>
    </w:p>
    <w:p w:rsidR="00E31DEF" w:rsidRPr="00D72122" w:rsidRDefault="00E31DEF" w:rsidP="00E31DEF">
      <w:pPr>
        <w:pStyle w:val="Paragraphedeliste"/>
        <w:numPr>
          <w:ilvl w:val="0"/>
          <w:numId w:val="3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met en jeu le pronostic maternel en raison de l’abondance de l’hémorragie.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>2- Une 2ème geste, césarisée lors de la 1ère grossesse est adressée en urgence à 34 semaines d'aménorrhée pour état de choc avec hémorragie peu abondante, noirâtre. L'examen retrouve une T.A. élevée à 16/10, et une contracture utérine. Diagnostic évoqué ?</w:t>
      </w:r>
    </w:p>
    <w:p w:rsidR="00E31DEF" w:rsidRPr="00D72122" w:rsidRDefault="00E31DEF" w:rsidP="00E31DEF">
      <w:pPr>
        <w:pStyle w:val="Paragraphedeliste"/>
        <w:numPr>
          <w:ilvl w:val="0"/>
          <w:numId w:val="3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 syndrome du sinus marginal</w:t>
      </w:r>
    </w:p>
    <w:p w:rsidR="00E31DEF" w:rsidRPr="00D72122" w:rsidRDefault="00E31DEF" w:rsidP="00E31DEF">
      <w:pPr>
        <w:pStyle w:val="Paragraphedeliste"/>
        <w:numPr>
          <w:ilvl w:val="0"/>
          <w:numId w:val="3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Une rupture utérine</w:t>
      </w:r>
    </w:p>
    <w:p w:rsidR="00E31DEF" w:rsidRPr="00D72122" w:rsidRDefault="00E31DEF" w:rsidP="00E31DEF">
      <w:pPr>
        <w:pStyle w:val="Paragraphedeliste"/>
        <w:numPr>
          <w:ilvl w:val="0"/>
          <w:numId w:val="3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 décollement prématuré du placenta normalement inséré</w:t>
      </w:r>
    </w:p>
    <w:p w:rsidR="00E31DEF" w:rsidRPr="00D72122" w:rsidRDefault="00E31DEF" w:rsidP="00E31DEF">
      <w:pPr>
        <w:pStyle w:val="Paragraphedeliste"/>
        <w:numPr>
          <w:ilvl w:val="0"/>
          <w:numId w:val="3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 décollement prématuré du placenta bas inséré</w:t>
      </w:r>
    </w:p>
    <w:p w:rsidR="00E31DEF" w:rsidRPr="00D72122" w:rsidRDefault="00E31DEF" w:rsidP="00E31DEF">
      <w:pPr>
        <w:pStyle w:val="Paragraphedeliste"/>
        <w:numPr>
          <w:ilvl w:val="0"/>
          <w:numId w:val="3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 infarctus myométrial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>3- Chez une femme enceinte de 36 semaines d'aménorrhée, amenée aux urgences pour hémorragie utérine, vous évoquez un hématome rétro-placentaire. Quel(s) signe(s) oriente(nt) vers ce diagnostic?</w:t>
      </w:r>
    </w:p>
    <w:p w:rsidR="00E31DEF" w:rsidRPr="00D72122" w:rsidRDefault="00E31DEF" w:rsidP="00E31DEF">
      <w:pPr>
        <w:pStyle w:val="Paragraphedeliste"/>
        <w:numPr>
          <w:ilvl w:val="0"/>
          <w:numId w:val="3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Contracture utérine</w:t>
      </w:r>
    </w:p>
    <w:p w:rsidR="00E31DEF" w:rsidRPr="00D72122" w:rsidRDefault="00E31DEF" w:rsidP="00E31DEF">
      <w:pPr>
        <w:pStyle w:val="Paragraphedeliste"/>
        <w:numPr>
          <w:ilvl w:val="0"/>
          <w:numId w:val="3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Fièvre à 38º5</w:t>
      </w:r>
    </w:p>
    <w:p w:rsidR="00E31DEF" w:rsidRPr="00D72122" w:rsidRDefault="00E31DEF" w:rsidP="00E31DEF">
      <w:pPr>
        <w:pStyle w:val="Paragraphedeliste"/>
        <w:numPr>
          <w:ilvl w:val="0"/>
          <w:numId w:val="3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Absence de douleurs</w:t>
      </w:r>
    </w:p>
    <w:p w:rsidR="00E31DEF" w:rsidRPr="00D72122" w:rsidRDefault="00E31DEF" w:rsidP="00E31DEF">
      <w:pPr>
        <w:pStyle w:val="Paragraphedeliste"/>
        <w:numPr>
          <w:ilvl w:val="0"/>
          <w:numId w:val="3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Disparition de bruits du cœur fœtal</w:t>
      </w:r>
    </w:p>
    <w:p w:rsidR="00E31DEF" w:rsidRPr="00D72122" w:rsidRDefault="00E31DEF" w:rsidP="00E31DEF">
      <w:pPr>
        <w:pStyle w:val="Paragraphedeliste"/>
        <w:numPr>
          <w:ilvl w:val="0"/>
          <w:numId w:val="3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Impression de gros enfant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>4- Chez une femme à terme, amenée aux urgences pour hémorragies utérines, vous évoquez un hématome rétro-placentaire. Parmi les signes suivants lequel ou lesquels retenez-vous en faveur de cette hypothèse:</w:t>
      </w:r>
    </w:p>
    <w:p w:rsidR="00E31DEF" w:rsidRPr="00D72122" w:rsidRDefault="00E31DEF" w:rsidP="00E31DEF">
      <w:pPr>
        <w:pStyle w:val="Paragraphedeliste"/>
        <w:numPr>
          <w:ilvl w:val="0"/>
          <w:numId w:val="36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Contracture utérine</w:t>
      </w:r>
    </w:p>
    <w:p w:rsidR="00E31DEF" w:rsidRPr="00D72122" w:rsidRDefault="00E31DEF" w:rsidP="00E31DEF">
      <w:pPr>
        <w:pStyle w:val="Paragraphedeliste"/>
        <w:numPr>
          <w:ilvl w:val="0"/>
          <w:numId w:val="36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Disparition des bruits du cœur</w:t>
      </w:r>
    </w:p>
    <w:p w:rsidR="00E31DEF" w:rsidRPr="00D72122" w:rsidRDefault="00E31DEF" w:rsidP="00E31DEF">
      <w:pPr>
        <w:pStyle w:val="Paragraphedeliste"/>
        <w:numPr>
          <w:ilvl w:val="0"/>
          <w:numId w:val="36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Douleur scapulaire</w:t>
      </w:r>
    </w:p>
    <w:p w:rsidR="00E31DEF" w:rsidRPr="00D72122" w:rsidRDefault="00E31DEF" w:rsidP="00E31DEF">
      <w:pPr>
        <w:pStyle w:val="Paragraphedeliste"/>
        <w:numPr>
          <w:ilvl w:val="0"/>
          <w:numId w:val="36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Albuminurie</w:t>
      </w:r>
    </w:p>
    <w:p w:rsidR="00E31DEF" w:rsidRPr="00D72122" w:rsidRDefault="00E31DEF" w:rsidP="00E31DEF">
      <w:pPr>
        <w:pStyle w:val="Paragraphedeliste"/>
        <w:numPr>
          <w:ilvl w:val="0"/>
          <w:numId w:val="36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lastRenderedPageBreak/>
        <w:t>Fièvre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>5- L'hématome rétro-placentaire dans sa forme complète :</w:t>
      </w:r>
    </w:p>
    <w:p w:rsidR="00E31DEF" w:rsidRPr="00D72122" w:rsidRDefault="00E31DEF" w:rsidP="00E31DEF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Se traduit par une  contracture du corps utérin</w:t>
      </w:r>
    </w:p>
    <w:p w:rsidR="00E31DEF" w:rsidRPr="00D72122" w:rsidRDefault="00E31DEF" w:rsidP="00E31DEF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Peut se compliquer de coagulopathie de consommation</w:t>
      </w:r>
    </w:p>
    <w:p w:rsidR="00E31DEF" w:rsidRPr="00D72122" w:rsidRDefault="00E31DEF" w:rsidP="00E31DEF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Entraîne souvent la mort du fœtus in utéro</w:t>
      </w:r>
    </w:p>
    <w:p w:rsidR="00E31DEF" w:rsidRPr="00D72122" w:rsidRDefault="00E31DEF" w:rsidP="00E31DEF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Ne récidive jamais lors d'une grossesse ultérieure</w:t>
      </w:r>
    </w:p>
    <w:p w:rsidR="0015722A" w:rsidRPr="00D72122" w:rsidRDefault="00E31DEF" w:rsidP="00E31DEF">
      <w:pPr>
        <w:pStyle w:val="Paragraphedeliste"/>
        <w:numPr>
          <w:ilvl w:val="0"/>
          <w:numId w:val="38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Toutes les réponses suscitées sont justes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 xml:space="preserve">6- Relevez la (ou les) proposition(s) correcte(s) relative(s) à l’hématome rétro-placentaire : </w:t>
      </w:r>
    </w:p>
    <w:p w:rsidR="00E31DEF" w:rsidRPr="00D72122" w:rsidRDefault="00E31DEF" w:rsidP="00E31DEF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C’est synonyme du décollement prématuré d’un placenta bas inséré.</w:t>
      </w:r>
    </w:p>
    <w:p w:rsidR="00E31DEF" w:rsidRPr="00D72122" w:rsidRDefault="00E31DEF" w:rsidP="00E31DEF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Est fréquent chez une femme hypertendue. </w:t>
      </w:r>
    </w:p>
    <w:p w:rsidR="00E31DEF" w:rsidRPr="00D72122" w:rsidRDefault="00E31DEF" w:rsidP="00E31DEF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Est un accident imprévisible </w:t>
      </w:r>
    </w:p>
    <w:p w:rsidR="00E31DEF" w:rsidRPr="00D72122" w:rsidRDefault="00E31DEF" w:rsidP="00E31DEF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Est une hémorragie du premier trimestre. </w:t>
      </w:r>
    </w:p>
    <w:p w:rsidR="00E31DEF" w:rsidRPr="00D72122" w:rsidRDefault="00E31DEF" w:rsidP="00E31DEF">
      <w:pPr>
        <w:pStyle w:val="Paragraphedeliste"/>
        <w:numPr>
          <w:ilvl w:val="0"/>
          <w:numId w:val="39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L’origine du saignement est materno-fœtale. </w:t>
      </w:r>
    </w:p>
    <w:p w:rsidR="00E31DEF" w:rsidRPr="00D72122" w:rsidRDefault="00E31DEF" w:rsidP="00E31DE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 xml:space="preserve">7- Indiquez la(les) proposition(s) vraie(s) concernant l’hématome rétro-placentaire : </w:t>
      </w:r>
    </w:p>
    <w:p w:rsidR="00E31DEF" w:rsidRPr="00D72122" w:rsidRDefault="00E31DEF" w:rsidP="00E31DEF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C’est le décollement prématuré d’un placenta bas inséré.</w:t>
      </w:r>
    </w:p>
    <w:p w:rsidR="00E31DEF" w:rsidRPr="00D72122" w:rsidRDefault="00E31DEF" w:rsidP="00E31DEF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Il s’agit d’une urgence obstétricale mettant en jeu le pronostic materno-fœtal. </w:t>
      </w:r>
    </w:p>
    <w:p w:rsidR="00E31DEF" w:rsidRPr="00D72122" w:rsidRDefault="00E31DEF" w:rsidP="00E31DEF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Elle est suspectée devant un saignement génital du 3</w:t>
      </w:r>
      <w:r w:rsidRPr="00D72122">
        <w:rPr>
          <w:rFonts w:ascii="Tahoma" w:hAnsi="Tahoma" w:cs="Tahoma"/>
          <w:vertAlign w:val="superscript"/>
        </w:rPr>
        <w:t>e</w:t>
      </w:r>
      <w:r w:rsidRPr="00D72122">
        <w:rPr>
          <w:rFonts w:ascii="Tahoma" w:hAnsi="Tahoma" w:cs="Tahoma"/>
        </w:rPr>
        <w:t xml:space="preserve"> trimestre. </w:t>
      </w:r>
    </w:p>
    <w:p w:rsidR="00E31DEF" w:rsidRPr="00D72122" w:rsidRDefault="00E31DEF" w:rsidP="00E31DEF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Le traitement repose sur l’évacuation utérine rapide. </w:t>
      </w:r>
    </w:p>
    <w:p w:rsidR="00E31DEF" w:rsidRPr="00D72122" w:rsidRDefault="00E31DEF" w:rsidP="00E31DEF">
      <w:pPr>
        <w:pStyle w:val="Paragraphedeliste"/>
        <w:numPr>
          <w:ilvl w:val="0"/>
          <w:numId w:val="40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Elle peut être prévenue par l’Aspirine a 200 mg / jours jusqu’à la 35</w:t>
      </w:r>
      <w:r w:rsidRPr="00D72122">
        <w:rPr>
          <w:rFonts w:ascii="Tahoma" w:hAnsi="Tahoma" w:cs="Tahoma"/>
          <w:vertAlign w:val="superscript"/>
        </w:rPr>
        <w:t>e</w:t>
      </w:r>
      <w:r w:rsidRPr="00D72122">
        <w:rPr>
          <w:rFonts w:ascii="Tahoma" w:hAnsi="Tahoma" w:cs="Tahoma"/>
        </w:rPr>
        <w:t xml:space="preserve"> SA.</w:t>
      </w:r>
    </w:p>
    <w:p w:rsidR="00256817" w:rsidRPr="00D72122" w:rsidRDefault="00D60ADF" w:rsidP="00256817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 xml:space="preserve">8- Le diagnostic de l’hématome rétro-placentaire </w:t>
      </w:r>
      <w:r w:rsidR="00256817" w:rsidRPr="00D72122">
        <w:rPr>
          <w:rFonts w:ascii="Tahoma" w:hAnsi="Tahoma" w:cs="Tahoma"/>
          <w:b/>
          <w:bCs/>
        </w:rPr>
        <w:t xml:space="preserve">est évoqué devant l’association des signes suivants : </w:t>
      </w:r>
      <w:r w:rsidRPr="00D72122">
        <w:rPr>
          <w:rFonts w:ascii="Tahoma" w:hAnsi="Tahoma" w:cs="Tahoma"/>
          <w:b/>
          <w:bCs/>
        </w:rPr>
        <w:t xml:space="preserve"> </w:t>
      </w:r>
    </w:p>
    <w:p w:rsidR="00D72122" w:rsidRDefault="00256817" w:rsidP="00D72122">
      <w:p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A. L</w:t>
      </w:r>
      <w:r w:rsidR="00D60ADF" w:rsidRPr="00D72122">
        <w:rPr>
          <w:rFonts w:ascii="Tahoma" w:hAnsi="Tahoma" w:cs="Tahoma"/>
        </w:rPr>
        <w:t>’hypertonie utérine.</w:t>
      </w:r>
      <w:r w:rsidRPr="00D72122">
        <w:rPr>
          <w:rFonts w:ascii="Tahoma" w:hAnsi="Tahoma" w:cs="Tahoma"/>
        </w:rPr>
        <w:t xml:space="preserve"> </w:t>
      </w:r>
    </w:p>
    <w:p w:rsidR="00D60ADF" w:rsidRPr="00D72122" w:rsidRDefault="00256817" w:rsidP="00D72122">
      <w:p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B. </w:t>
      </w:r>
      <w:r w:rsidR="00D60ADF" w:rsidRPr="00D72122">
        <w:rPr>
          <w:rFonts w:ascii="Tahoma" w:hAnsi="Tahoma" w:cs="Tahoma"/>
        </w:rPr>
        <w:t xml:space="preserve">Saignement endo-utérin. </w:t>
      </w:r>
    </w:p>
    <w:p w:rsidR="00D72122" w:rsidRDefault="00256817" w:rsidP="00D72122">
      <w:p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C. </w:t>
      </w:r>
      <w:r w:rsidR="00D60ADF" w:rsidRPr="00D72122">
        <w:rPr>
          <w:rFonts w:ascii="Tahoma" w:hAnsi="Tahoma" w:cs="Tahoma"/>
        </w:rPr>
        <w:t>L’échographie.</w:t>
      </w:r>
    </w:p>
    <w:p w:rsidR="00D60ADF" w:rsidRPr="00D72122" w:rsidRDefault="00256817" w:rsidP="00D72122">
      <w:p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D. </w:t>
      </w:r>
      <w:r w:rsidR="00D60ADF" w:rsidRPr="00D72122">
        <w:rPr>
          <w:rFonts w:ascii="Tahoma" w:hAnsi="Tahoma" w:cs="Tahoma"/>
        </w:rPr>
        <w:t xml:space="preserve">Souffrance fœtale. </w:t>
      </w:r>
    </w:p>
    <w:p w:rsidR="00E31DEF" w:rsidRPr="00D72122" w:rsidRDefault="00256817" w:rsidP="00256817">
      <w:p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E. </w:t>
      </w:r>
      <w:r w:rsidR="00D60ADF" w:rsidRPr="00D72122">
        <w:rPr>
          <w:rFonts w:ascii="Tahoma" w:hAnsi="Tahoma" w:cs="Tahoma"/>
        </w:rPr>
        <w:t xml:space="preserve">Tout ce qui précède. </w:t>
      </w:r>
      <w:r w:rsidR="00E31DEF" w:rsidRPr="00D72122">
        <w:rPr>
          <w:rFonts w:ascii="Tahoma" w:hAnsi="Tahoma" w:cs="Tahoma"/>
        </w:rPr>
        <w:t xml:space="preserve"> </w:t>
      </w:r>
    </w:p>
    <w:p w:rsidR="00D60ADF" w:rsidRPr="00D72122" w:rsidRDefault="00D60ADF" w:rsidP="00D60ADF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 xml:space="preserve">9- quelle(s) est(sont) la(les) proposition(s) vraie(s) concernant l’hématome rétro-placentaire (HRP) : </w:t>
      </w:r>
    </w:p>
    <w:p w:rsidR="00D60ADF" w:rsidRPr="00D72122" w:rsidRDefault="00D60ADF" w:rsidP="00D60ADF">
      <w:pPr>
        <w:pStyle w:val="Paragraphedeliste"/>
        <w:numPr>
          <w:ilvl w:val="0"/>
          <w:numId w:val="4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lastRenderedPageBreak/>
        <w:t>C’est le décollement prématuré d’un placenta normo-inséré.</w:t>
      </w:r>
    </w:p>
    <w:p w:rsidR="00D60ADF" w:rsidRPr="00D72122" w:rsidRDefault="00D60ADF" w:rsidP="00D60ADF">
      <w:pPr>
        <w:pStyle w:val="Paragraphedeliste"/>
        <w:numPr>
          <w:ilvl w:val="0"/>
          <w:numId w:val="4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L’HRP est fréquent chez les toxémiques </w:t>
      </w:r>
    </w:p>
    <w:p w:rsidR="00D60ADF" w:rsidRPr="00D72122" w:rsidRDefault="00D60ADF" w:rsidP="00D60ADF">
      <w:pPr>
        <w:pStyle w:val="Paragraphedeliste"/>
        <w:numPr>
          <w:ilvl w:val="0"/>
          <w:numId w:val="4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Il s’agit d’un accident prévisible. </w:t>
      </w:r>
    </w:p>
    <w:p w:rsidR="00D60ADF" w:rsidRPr="00D72122" w:rsidRDefault="00EA6F05" w:rsidP="00D60ADF">
      <w:pPr>
        <w:pStyle w:val="Paragraphedeliste"/>
        <w:numPr>
          <w:ilvl w:val="0"/>
          <w:numId w:val="4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Il se manifeste par une hémorragie faite de sang rouge abondant.  </w:t>
      </w:r>
    </w:p>
    <w:p w:rsidR="00D60ADF" w:rsidRPr="00D72122" w:rsidRDefault="00EA6F05" w:rsidP="00256817">
      <w:pPr>
        <w:pStyle w:val="Paragraphedeliste"/>
        <w:numPr>
          <w:ilvl w:val="0"/>
          <w:numId w:val="42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Une fois diagnostiqué</w:t>
      </w:r>
      <w:r w:rsidR="00256817" w:rsidRPr="00D72122">
        <w:rPr>
          <w:rFonts w:ascii="Tahoma" w:hAnsi="Tahoma" w:cs="Tahoma"/>
        </w:rPr>
        <w:t xml:space="preserve"> </w:t>
      </w:r>
      <w:r w:rsidRPr="00D72122">
        <w:rPr>
          <w:rFonts w:ascii="Tahoma" w:hAnsi="Tahoma" w:cs="Tahoma"/>
        </w:rPr>
        <w:t xml:space="preserve">la tocolyse s’impose. </w:t>
      </w:r>
    </w:p>
    <w:p w:rsidR="00EA6F05" w:rsidRPr="00D72122" w:rsidRDefault="00EA6F05" w:rsidP="00EA6F05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 xml:space="preserve">10- Le diagnostic de l’hématome rétro-placentaire est fait devant : </w:t>
      </w:r>
    </w:p>
    <w:p w:rsidR="00EA6F05" w:rsidRPr="00D72122" w:rsidRDefault="00EA6F05" w:rsidP="00EA6F05">
      <w:pPr>
        <w:pStyle w:val="Paragraphedeliste"/>
        <w:numPr>
          <w:ilvl w:val="0"/>
          <w:numId w:val="4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Une hypercinésie utérine. </w:t>
      </w:r>
    </w:p>
    <w:p w:rsidR="00EA6F05" w:rsidRPr="00D72122" w:rsidRDefault="00EA6F05" w:rsidP="00EA6F05">
      <w:pPr>
        <w:pStyle w:val="Paragraphedeliste"/>
        <w:numPr>
          <w:ilvl w:val="0"/>
          <w:numId w:val="4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 saignement d’origine endo-utérin.</w:t>
      </w:r>
    </w:p>
    <w:p w:rsidR="00EA6F05" w:rsidRPr="00D72122" w:rsidRDefault="00EA6F05" w:rsidP="00EA6F05">
      <w:pPr>
        <w:pStyle w:val="Paragraphedeliste"/>
        <w:numPr>
          <w:ilvl w:val="0"/>
          <w:numId w:val="4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Une augmentation de l’épaisseur placentaire à l’échographie. </w:t>
      </w:r>
    </w:p>
    <w:p w:rsidR="00EA6F05" w:rsidRPr="00D72122" w:rsidRDefault="00EA6F05" w:rsidP="00EA6F05">
      <w:pPr>
        <w:pStyle w:val="Paragraphedeliste"/>
        <w:numPr>
          <w:ilvl w:val="0"/>
          <w:numId w:val="4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Une souffrance fœtale au RCF. </w:t>
      </w:r>
    </w:p>
    <w:p w:rsidR="00111A8E" w:rsidRPr="00D72122" w:rsidRDefault="00EA6F05" w:rsidP="00EA6F05">
      <w:pPr>
        <w:pStyle w:val="Paragraphedeliste"/>
        <w:numPr>
          <w:ilvl w:val="0"/>
          <w:numId w:val="44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Une hémorragie indolore du 3</w:t>
      </w:r>
      <w:r w:rsidRPr="00D72122">
        <w:rPr>
          <w:rFonts w:ascii="Tahoma" w:hAnsi="Tahoma" w:cs="Tahoma"/>
          <w:vertAlign w:val="superscript"/>
        </w:rPr>
        <w:t>e</w:t>
      </w:r>
      <w:r w:rsidRPr="00D72122">
        <w:rPr>
          <w:rFonts w:ascii="Tahoma" w:hAnsi="Tahoma" w:cs="Tahoma"/>
        </w:rPr>
        <w:t xml:space="preserve"> trimestre</w:t>
      </w:r>
    </w:p>
    <w:p w:rsidR="00D72122" w:rsidRPr="00D72122" w:rsidRDefault="00D72122" w:rsidP="00D72122">
      <w:pPr>
        <w:spacing w:after="0"/>
        <w:rPr>
          <w:rFonts w:ascii="Tahoma" w:hAnsi="Tahoma" w:cs="Tahoma"/>
          <w:b/>
          <w:bCs/>
        </w:rPr>
      </w:pPr>
      <w:r w:rsidRPr="00D72122">
        <w:rPr>
          <w:rFonts w:ascii="Tahoma" w:hAnsi="Tahoma" w:cs="Tahoma"/>
          <w:b/>
          <w:bCs/>
        </w:rPr>
        <w:t>11- Dans l'hémorragie rétroplacentaire typique, on observe en association avec les métrorragies :</w:t>
      </w:r>
    </w:p>
    <w:p w:rsidR="00D72122" w:rsidRPr="00D72122" w:rsidRDefault="00010694" w:rsidP="00D72122">
      <w:pPr>
        <w:pStyle w:val="Paragraphedeliste"/>
        <w:numPr>
          <w:ilvl w:val="0"/>
          <w:numId w:val="47"/>
        </w:numPr>
        <w:spacing w:after="0"/>
        <w:rPr>
          <w:rFonts w:ascii="Tahoma" w:hAnsi="Tahoma" w:cs="Tahoma"/>
        </w:rPr>
      </w:pPr>
      <w:r w:rsidRPr="00010694">
        <w:rPr>
          <w:rFonts w:ascii="Tahoma" w:hAnsi="Tahoma" w:cs="Tahoma"/>
          <w:b/>
          <w:bCs/>
          <w:noProof/>
          <w:lang w:eastAsia="fr-FR"/>
        </w:rPr>
        <w:pict>
          <v:rect id="_x0000_s1026" style="position:absolute;left:0;text-align:left;margin-left:460.5pt;margin-top:-12pt;width:57.85pt;height:331.5pt;z-index:251658240;mso-position-horizontal-relative:margin;mso-position-vertical-relative:margin">
            <v:textbox>
              <w:txbxContent>
                <w:p w:rsidR="00EA6F05" w:rsidRPr="00EA6F05" w:rsidRDefault="00EA6F05" w:rsidP="00EA6F05">
                  <w:pPr>
                    <w:spacing w:after="0"/>
                    <w:rPr>
                      <w:lang w:val="en-US"/>
                    </w:rPr>
                  </w:pPr>
                  <w:r w:rsidRPr="00EA6F05">
                    <w:rPr>
                      <w:lang w:val="en-US"/>
                    </w:rPr>
                    <w:t xml:space="preserve">1- ACD </w:t>
                  </w:r>
                </w:p>
                <w:p w:rsidR="00EA6F05" w:rsidRPr="00EA6F05" w:rsidRDefault="00EA6F05" w:rsidP="00EA6F05">
                  <w:pPr>
                    <w:spacing w:after="0"/>
                    <w:rPr>
                      <w:lang w:val="en-US"/>
                    </w:rPr>
                  </w:pPr>
                  <w:r w:rsidRPr="00EA6F05">
                    <w:rPr>
                      <w:lang w:val="en-US"/>
                    </w:rPr>
                    <w:t xml:space="preserve">2- C </w:t>
                  </w:r>
                </w:p>
                <w:p w:rsidR="00EA6F05" w:rsidRPr="00EA6F05" w:rsidRDefault="00EA6F05" w:rsidP="00EA6F05">
                  <w:pPr>
                    <w:spacing w:after="0"/>
                    <w:rPr>
                      <w:lang w:val="en-US"/>
                    </w:rPr>
                  </w:pPr>
                  <w:r w:rsidRPr="00EA6F05">
                    <w:rPr>
                      <w:lang w:val="en-US"/>
                    </w:rPr>
                    <w:t xml:space="preserve">3- AD </w:t>
                  </w:r>
                </w:p>
                <w:p w:rsidR="00EA6F05" w:rsidRPr="00EA6F05" w:rsidRDefault="00EA6F05" w:rsidP="00EA6F05">
                  <w:pPr>
                    <w:spacing w:after="0"/>
                    <w:rPr>
                      <w:lang w:val="en-US"/>
                    </w:rPr>
                  </w:pPr>
                  <w:r w:rsidRPr="00EA6F05">
                    <w:rPr>
                      <w:lang w:val="en-US"/>
                    </w:rPr>
                    <w:t>4- ABD</w:t>
                  </w:r>
                </w:p>
                <w:p w:rsidR="00EA6F05" w:rsidRPr="00EA6F05" w:rsidRDefault="00EA6F05" w:rsidP="00EA6F05">
                  <w:pPr>
                    <w:spacing w:after="0"/>
                    <w:rPr>
                      <w:lang w:val="en-US"/>
                    </w:rPr>
                  </w:pPr>
                  <w:r w:rsidRPr="00EA6F05">
                    <w:rPr>
                      <w:lang w:val="en-US"/>
                    </w:rPr>
                    <w:t xml:space="preserve">5- ABC  </w:t>
                  </w:r>
                </w:p>
                <w:p w:rsidR="00EA6F05" w:rsidRPr="00EA6F05" w:rsidRDefault="00EA6F05" w:rsidP="00EA6F05">
                  <w:pPr>
                    <w:spacing w:after="0"/>
                    <w:rPr>
                      <w:lang w:val="en-US"/>
                    </w:rPr>
                  </w:pPr>
                  <w:r w:rsidRPr="00EA6F05">
                    <w:rPr>
                      <w:lang w:val="en-US"/>
                    </w:rPr>
                    <w:t xml:space="preserve">6- BC </w:t>
                  </w:r>
                </w:p>
                <w:p w:rsidR="00EA6F05" w:rsidRDefault="00EA6F05" w:rsidP="00EA6F05">
                  <w:pPr>
                    <w:spacing w:after="0"/>
                  </w:pPr>
                  <w:r>
                    <w:t xml:space="preserve">7- BCD </w:t>
                  </w:r>
                </w:p>
                <w:p w:rsidR="00EA6F05" w:rsidRDefault="00EA6F05" w:rsidP="00EA6F05">
                  <w:pPr>
                    <w:spacing w:after="0"/>
                  </w:pPr>
                  <w:r>
                    <w:t xml:space="preserve">8- E </w:t>
                  </w:r>
                </w:p>
                <w:p w:rsidR="00EA6F05" w:rsidRDefault="00EA6F05" w:rsidP="00EA6F05">
                  <w:pPr>
                    <w:spacing w:after="0"/>
                  </w:pPr>
                  <w:r>
                    <w:t xml:space="preserve">9- AB </w:t>
                  </w:r>
                </w:p>
                <w:p w:rsidR="00EA6F05" w:rsidRDefault="00EA6F05" w:rsidP="00EA6F05">
                  <w:pPr>
                    <w:spacing w:after="0"/>
                  </w:pPr>
                  <w:r>
                    <w:t>10- ABCD</w:t>
                  </w:r>
                </w:p>
                <w:p w:rsidR="00D72122" w:rsidRDefault="00D72122" w:rsidP="00EA6F05">
                  <w:pPr>
                    <w:spacing w:after="0"/>
                  </w:pPr>
                  <w:r>
                    <w:t xml:space="preserve">11- ABCE </w:t>
                  </w:r>
                </w:p>
              </w:txbxContent>
            </v:textbox>
            <w10:wrap type="square" anchorx="margin" anchory="margin"/>
          </v:rect>
        </w:pict>
      </w:r>
      <w:r w:rsidR="00D72122" w:rsidRPr="00D72122">
        <w:rPr>
          <w:rFonts w:ascii="Tahoma" w:hAnsi="Tahoma" w:cs="Tahoma"/>
        </w:rPr>
        <w:t>Une contracture utérine</w:t>
      </w:r>
    </w:p>
    <w:p w:rsidR="00D72122" w:rsidRPr="00D72122" w:rsidRDefault="00D72122" w:rsidP="00D72122">
      <w:pPr>
        <w:pStyle w:val="Paragraphedeliste"/>
        <w:numPr>
          <w:ilvl w:val="0"/>
          <w:numId w:val="47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Une douleur abdominale violente</w:t>
      </w:r>
    </w:p>
    <w:p w:rsidR="00D72122" w:rsidRPr="00D72122" w:rsidRDefault="00D72122" w:rsidP="00D72122">
      <w:pPr>
        <w:pStyle w:val="Paragraphedeliste"/>
        <w:numPr>
          <w:ilvl w:val="0"/>
          <w:numId w:val="47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 état de choc</w:t>
      </w:r>
    </w:p>
    <w:p w:rsidR="00D72122" w:rsidRPr="00D72122" w:rsidRDefault="00D72122" w:rsidP="00D72122">
      <w:pPr>
        <w:pStyle w:val="Paragraphedeliste"/>
        <w:numPr>
          <w:ilvl w:val="0"/>
          <w:numId w:val="47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>Une diminution de la hauteur utérine</w:t>
      </w:r>
    </w:p>
    <w:p w:rsidR="00D72122" w:rsidRPr="00D72122" w:rsidRDefault="00D72122" w:rsidP="00D72122">
      <w:pPr>
        <w:pStyle w:val="Paragraphedeliste"/>
        <w:numPr>
          <w:ilvl w:val="0"/>
          <w:numId w:val="47"/>
        </w:numPr>
        <w:spacing w:after="0"/>
        <w:rPr>
          <w:rFonts w:ascii="Tahoma" w:hAnsi="Tahoma" w:cs="Tahoma"/>
        </w:rPr>
      </w:pPr>
      <w:r w:rsidRPr="00D72122">
        <w:rPr>
          <w:rFonts w:ascii="Tahoma" w:hAnsi="Tahoma" w:cs="Tahoma"/>
        </w:rPr>
        <w:t xml:space="preserve">Une souffrance </w:t>
      </w:r>
      <w:r w:rsidR="003D61E7" w:rsidRPr="00D72122">
        <w:rPr>
          <w:rFonts w:ascii="Tahoma" w:hAnsi="Tahoma" w:cs="Tahoma"/>
        </w:rPr>
        <w:t>fœtale</w:t>
      </w:r>
      <w:r w:rsidRPr="00D72122">
        <w:rPr>
          <w:rFonts w:ascii="Tahoma" w:hAnsi="Tahoma" w:cs="Tahoma"/>
        </w:rPr>
        <w:cr/>
      </w:r>
    </w:p>
    <w:sectPr w:rsidR="00D72122" w:rsidRPr="00D72122" w:rsidSect="00EA6F05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CDE" w:rsidRDefault="00AA3CDE" w:rsidP="00863C1D">
      <w:pPr>
        <w:spacing w:after="0" w:line="240" w:lineRule="auto"/>
      </w:pPr>
      <w:r>
        <w:separator/>
      </w:r>
    </w:p>
  </w:endnote>
  <w:endnote w:type="continuationSeparator" w:id="0">
    <w:p w:rsidR="00AA3CDE" w:rsidRDefault="00AA3CDE" w:rsidP="0086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pace Ranger">
    <w:panose1 w:val="00000000000000000000"/>
    <w:charset w:val="00"/>
    <w:family w:val="auto"/>
    <w:pitch w:val="variable"/>
    <w:sig w:usb0="80000007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7" w:rightFromText="187" w:vertAnchor="text" w:tblpY="1"/>
      <w:tblW w:w="5000" w:type="pct"/>
      <w:tblLook w:val="04A0"/>
    </w:tblPr>
    <w:tblGrid>
      <w:gridCol w:w="4807"/>
      <w:gridCol w:w="1068"/>
      <w:gridCol w:w="4807"/>
    </w:tblGrid>
    <w:tr w:rsidR="00DA0EDB">
      <w:trPr>
        <w:trHeight w:val="151"/>
      </w:trPr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:rsidR="00DA0EDB" w:rsidRDefault="00DA0EDB">
          <w:pPr>
            <w:pStyle w:val="Sansinterligne"/>
            <w:rPr>
              <w:rFonts w:asciiTheme="majorHAnsi" w:hAnsiTheme="majorHAnsi"/>
            </w:rPr>
          </w:pPr>
          <w:r>
            <w:rPr>
              <w:rFonts w:asciiTheme="majorHAnsi" w:hAnsiTheme="majorHAnsi"/>
              <w:b/>
            </w:rPr>
            <w:t xml:space="preserve">Page </w:t>
          </w:r>
          <w:fldSimple w:instr=" PAGE  \* MERGEFORMAT ">
            <w:r w:rsidR="00AA3CDE" w:rsidRPr="00AA3CDE">
              <w:rPr>
                <w:rFonts w:asciiTheme="majorHAnsi" w:hAnsiTheme="majorHAnsi"/>
                <w:b/>
                <w:noProof/>
              </w:rPr>
              <w:t>1</w:t>
            </w:r>
          </w:fldSimple>
        </w:p>
      </w:tc>
      <w:tc>
        <w:tcPr>
          <w:tcW w:w="2250" w:type="pct"/>
          <w:tcBorders>
            <w:bottom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DA0EDB">
      <w:trPr>
        <w:trHeight w:val="150"/>
      </w:trPr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:rsidR="00DA0EDB" w:rsidRDefault="00DA0EDB">
          <w:pPr>
            <w:pStyle w:val="En-tte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53548A" w:themeColor="accent1"/>
          </w:tcBorders>
        </w:tcPr>
        <w:p w:rsidR="00DA0EDB" w:rsidRDefault="00DA0EDB">
          <w:pPr>
            <w:pStyle w:val="En-tte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:rsidR="00DA0EDB" w:rsidRDefault="00DA0ED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CDE" w:rsidRDefault="00AA3CDE" w:rsidP="00863C1D">
      <w:pPr>
        <w:spacing w:after="0" w:line="240" w:lineRule="auto"/>
      </w:pPr>
      <w:r>
        <w:separator/>
      </w:r>
    </w:p>
  </w:footnote>
  <w:footnote w:type="continuationSeparator" w:id="0">
    <w:p w:rsidR="00AA3CDE" w:rsidRDefault="00AA3CDE" w:rsidP="0086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11D24"/>
    <w:multiLevelType w:val="hybridMultilevel"/>
    <w:tmpl w:val="327AE9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3F78"/>
    <w:multiLevelType w:val="hybridMultilevel"/>
    <w:tmpl w:val="2D98A79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004156"/>
    <w:multiLevelType w:val="hybridMultilevel"/>
    <w:tmpl w:val="9208C72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D63BC9"/>
    <w:multiLevelType w:val="hybridMultilevel"/>
    <w:tmpl w:val="87BA7AC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264B3"/>
    <w:multiLevelType w:val="hybridMultilevel"/>
    <w:tmpl w:val="0BC282A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6B6516"/>
    <w:multiLevelType w:val="hybridMultilevel"/>
    <w:tmpl w:val="637CFF0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15CD4"/>
    <w:multiLevelType w:val="hybridMultilevel"/>
    <w:tmpl w:val="D21C048A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A036BE"/>
    <w:multiLevelType w:val="hybridMultilevel"/>
    <w:tmpl w:val="8EF6F3E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53875"/>
    <w:multiLevelType w:val="hybridMultilevel"/>
    <w:tmpl w:val="3670CE8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37552"/>
    <w:multiLevelType w:val="hybridMultilevel"/>
    <w:tmpl w:val="9C029DC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BA56BA"/>
    <w:multiLevelType w:val="hybridMultilevel"/>
    <w:tmpl w:val="CA2CAA44"/>
    <w:lvl w:ilvl="0" w:tplc="AA88A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1E05C3"/>
    <w:multiLevelType w:val="hybridMultilevel"/>
    <w:tmpl w:val="6A0833F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4FD2E0A"/>
    <w:multiLevelType w:val="hybridMultilevel"/>
    <w:tmpl w:val="D24E7334"/>
    <w:lvl w:ilvl="0" w:tplc="5672A4E8">
      <w:start w:val="7"/>
      <w:numFmt w:val="decimal"/>
      <w:lvlText w:val="%1-"/>
      <w:lvlJc w:val="left"/>
      <w:pPr>
        <w:ind w:left="720" w:hanging="360"/>
      </w:pPr>
      <w:rPr>
        <w:rFonts w:ascii="Helvetica" w:hAnsi="Helvetica" w:cs="Helvetica" w:hint="default"/>
        <w:color w:val="141823"/>
        <w:sz w:val="21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1F60E5"/>
    <w:multiLevelType w:val="hybridMultilevel"/>
    <w:tmpl w:val="D6E4896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7B1CB4"/>
    <w:multiLevelType w:val="hybridMultilevel"/>
    <w:tmpl w:val="44D4FB6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CDA68B1"/>
    <w:multiLevelType w:val="hybridMultilevel"/>
    <w:tmpl w:val="3F1A15D4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3C4594"/>
    <w:multiLevelType w:val="hybridMultilevel"/>
    <w:tmpl w:val="8E9C5A1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4816E25"/>
    <w:multiLevelType w:val="hybridMultilevel"/>
    <w:tmpl w:val="B650C314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6A46DB0"/>
    <w:multiLevelType w:val="hybridMultilevel"/>
    <w:tmpl w:val="BF9A0B40"/>
    <w:lvl w:ilvl="0" w:tplc="7FF8E1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3C0A3A"/>
    <w:multiLevelType w:val="hybridMultilevel"/>
    <w:tmpl w:val="D1380D1E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F584895"/>
    <w:multiLevelType w:val="hybridMultilevel"/>
    <w:tmpl w:val="C538A0E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66CC8"/>
    <w:multiLevelType w:val="hybridMultilevel"/>
    <w:tmpl w:val="F5046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D431F8"/>
    <w:multiLevelType w:val="hybridMultilevel"/>
    <w:tmpl w:val="A9386BD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51619F1"/>
    <w:multiLevelType w:val="hybridMultilevel"/>
    <w:tmpl w:val="00200C6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D52BF4"/>
    <w:multiLevelType w:val="hybridMultilevel"/>
    <w:tmpl w:val="D92C1BFA"/>
    <w:lvl w:ilvl="0" w:tplc="040C0015">
      <w:start w:val="1"/>
      <w:numFmt w:val="upperLetter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ABA075C"/>
    <w:multiLevelType w:val="hybridMultilevel"/>
    <w:tmpl w:val="1940235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AEF7210"/>
    <w:multiLevelType w:val="hybridMultilevel"/>
    <w:tmpl w:val="EB965D24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CB76BB"/>
    <w:multiLevelType w:val="hybridMultilevel"/>
    <w:tmpl w:val="9158595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05D34EA"/>
    <w:multiLevelType w:val="hybridMultilevel"/>
    <w:tmpl w:val="656E8D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3C1D0A"/>
    <w:multiLevelType w:val="hybridMultilevel"/>
    <w:tmpl w:val="9AD6A018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644E26"/>
    <w:multiLevelType w:val="hybridMultilevel"/>
    <w:tmpl w:val="F4342062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72979B3"/>
    <w:multiLevelType w:val="hybridMultilevel"/>
    <w:tmpl w:val="9B36CDFA"/>
    <w:lvl w:ilvl="0" w:tplc="2F5C30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06EE2"/>
    <w:multiLevelType w:val="hybridMultilevel"/>
    <w:tmpl w:val="0FA4773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0F01FBB"/>
    <w:multiLevelType w:val="hybridMultilevel"/>
    <w:tmpl w:val="1F2AFAD0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0773E9"/>
    <w:multiLevelType w:val="hybridMultilevel"/>
    <w:tmpl w:val="FFAAAA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335FC2"/>
    <w:multiLevelType w:val="hybridMultilevel"/>
    <w:tmpl w:val="E3781ABA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5C7B37"/>
    <w:multiLevelType w:val="hybridMultilevel"/>
    <w:tmpl w:val="E9E0EFC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696623"/>
    <w:multiLevelType w:val="hybridMultilevel"/>
    <w:tmpl w:val="730E501C"/>
    <w:lvl w:ilvl="0" w:tplc="D21C18F4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52CA5E2">
      <w:start w:val="1"/>
      <w:numFmt w:val="upperLetter"/>
      <w:lvlText w:val="%2."/>
      <w:lvlJc w:val="left"/>
      <w:pPr>
        <w:ind w:left="360" w:hanging="360"/>
      </w:pPr>
      <w:rPr>
        <w:rFonts w:ascii="Helvetica" w:hAnsi="Helvetica" w:cstheme="minorBidi" w:hint="default"/>
        <w:color w:val="141823"/>
        <w:sz w:val="21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A517A92"/>
    <w:multiLevelType w:val="hybridMultilevel"/>
    <w:tmpl w:val="FD86BD8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572889"/>
    <w:multiLevelType w:val="hybridMultilevel"/>
    <w:tmpl w:val="C7D0F1E6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2075920"/>
    <w:multiLevelType w:val="hybridMultilevel"/>
    <w:tmpl w:val="B0C4F056"/>
    <w:lvl w:ilvl="0" w:tplc="86AACB3E">
      <w:start w:val="1"/>
      <w:numFmt w:val="upperLetter"/>
      <w:lvlText w:val="%1."/>
      <w:lvlJc w:val="right"/>
      <w:pPr>
        <w:ind w:left="72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9E35F3"/>
    <w:multiLevelType w:val="hybridMultilevel"/>
    <w:tmpl w:val="A09C0530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3C77906"/>
    <w:multiLevelType w:val="hybridMultilevel"/>
    <w:tmpl w:val="10E803F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6F4375C"/>
    <w:multiLevelType w:val="hybridMultilevel"/>
    <w:tmpl w:val="26B69A2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8243DDD"/>
    <w:multiLevelType w:val="hybridMultilevel"/>
    <w:tmpl w:val="2B2A723E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761B73"/>
    <w:multiLevelType w:val="hybridMultilevel"/>
    <w:tmpl w:val="FC482306"/>
    <w:lvl w:ilvl="0" w:tplc="422A9FF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900B43"/>
    <w:multiLevelType w:val="hybridMultilevel"/>
    <w:tmpl w:val="69463208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42"/>
  </w:num>
  <w:num w:numId="4">
    <w:abstractNumId w:val="19"/>
  </w:num>
  <w:num w:numId="5">
    <w:abstractNumId w:val="28"/>
  </w:num>
  <w:num w:numId="6">
    <w:abstractNumId w:val="2"/>
  </w:num>
  <w:num w:numId="7">
    <w:abstractNumId w:val="10"/>
  </w:num>
  <w:num w:numId="8">
    <w:abstractNumId w:val="18"/>
  </w:num>
  <w:num w:numId="9">
    <w:abstractNumId w:val="29"/>
  </w:num>
  <w:num w:numId="10">
    <w:abstractNumId w:val="13"/>
  </w:num>
  <w:num w:numId="11">
    <w:abstractNumId w:val="33"/>
  </w:num>
  <w:num w:numId="12">
    <w:abstractNumId w:val="7"/>
  </w:num>
  <w:num w:numId="13">
    <w:abstractNumId w:val="35"/>
  </w:num>
  <w:num w:numId="14">
    <w:abstractNumId w:val="21"/>
  </w:num>
  <w:num w:numId="15">
    <w:abstractNumId w:val="15"/>
  </w:num>
  <w:num w:numId="16">
    <w:abstractNumId w:val="40"/>
  </w:num>
  <w:num w:numId="17">
    <w:abstractNumId w:val="5"/>
  </w:num>
  <w:num w:numId="18">
    <w:abstractNumId w:val="45"/>
  </w:num>
  <w:num w:numId="19">
    <w:abstractNumId w:val="12"/>
  </w:num>
  <w:num w:numId="20">
    <w:abstractNumId w:val="0"/>
  </w:num>
  <w:num w:numId="21">
    <w:abstractNumId w:val="41"/>
  </w:num>
  <w:num w:numId="22">
    <w:abstractNumId w:val="34"/>
  </w:num>
  <w:num w:numId="23">
    <w:abstractNumId w:val="20"/>
  </w:num>
  <w:num w:numId="24">
    <w:abstractNumId w:val="46"/>
  </w:num>
  <w:num w:numId="25">
    <w:abstractNumId w:val="43"/>
  </w:num>
  <w:num w:numId="26">
    <w:abstractNumId w:val="11"/>
  </w:num>
  <w:num w:numId="27">
    <w:abstractNumId w:val="31"/>
  </w:num>
  <w:num w:numId="28">
    <w:abstractNumId w:val="37"/>
  </w:num>
  <w:num w:numId="29">
    <w:abstractNumId w:val="38"/>
  </w:num>
  <w:num w:numId="30">
    <w:abstractNumId w:val="26"/>
  </w:num>
  <w:num w:numId="31">
    <w:abstractNumId w:val="44"/>
  </w:num>
  <w:num w:numId="32">
    <w:abstractNumId w:val="14"/>
  </w:num>
  <w:num w:numId="33">
    <w:abstractNumId w:val="6"/>
  </w:num>
  <w:num w:numId="34">
    <w:abstractNumId w:val="23"/>
  </w:num>
  <w:num w:numId="35">
    <w:abstractNumId w:val="3"/>
  </w:num>
  <w:num w:numId="36">
    <w:abstractNumId w:val="30"/>
  </w:num>
  <w:num w:numId="37">
    <w:abstractNumId w:val="4"/>
  </w:num>
  <w:num w:numId="38">
    <w:abstractNumId w:val="16"/>
  </w:num>
  <w:num w:numId="39">
    <w:abstractNumId w:val="39"/>
  </w:num>
  <w:num w:numId="40">
    <w:abstractNumId w:val="1"/>
  </w:num>
  <w:num w:numId="41">
    <w:abstractNumId w:val="22"/>
  </w:num>
  <w:num w:numId="42">
    <w:abstractNumId w:val="24"/>
  </w:num>
  <w:num w:numId="43">
    <w:abstractNumId w:val="32"/>
  </w:num>
  <w:num w:numId="44">
    <w:abstractNumId w:val="27"/>
  </w:num>
  <w:num w:numId="45">
    <w:abstractNumId w:val="9"/>
  </w:num>
  <w:num w:numId="46">
    <w:abstractNumId w:val="8"/>
  </w:num>
  <w:num w:numId="47">
    <w:abstractNumId w:val="3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7FA5"/>
    <w:rsid w:val="0000451E"/>
    <w:rsid w:val="00010694"/>
    <w:rsid w:val="00021BCF"/>
    <w:rsid w:val="00023DD1"/>
    <w:rsid w:val="0003194A"/>
    <w:rsid w:val="00053DC5"/>
    <w:rsid w:val="00060BA3"/>
    <w:rsid w:val="00076886"/>
    <w:rsid w:val="00084C5E"/>
    <w:rsid w:val="00096661"/>
    <w:rsid w:val="000B7739"/>
    <w:rsid w:val="000C41BB"/>
    <w:rsid w:val="000F001A"/>
    <w:rsid w:val="00111A8E"/>
    <w:rsid w:val="00116452"/>
    <w:rsid w:val="00141611"/>
    <w:rsid w:val="0015722A"/>
    <w:rsid w:val="00162DCC"/>
    <w:rsid w:val="001838BA"/>
    <w:rsid w:val="00197E11"/>
    <w:rsid w:val="001B2C72"/>
    <w:rsid w:val="00206CEE"/>
    <w:rsid w:val="00220D04"/>
    <w:rsid w:val="00230101"/>
    <w:rsid w:val="00231083"/>
    <w:rsid w:val="00247572"/>
    <w:rsid w:val="00256817"/>
    <w:rsid w:val="00273F79"/>
    <w:rsid w:val="002C06E5"/>
    <w:rsid w:val="0031077D"/>
    <w:rsid w:val="00320848"/>
    <w:rsid w:val="00336B18"/>
    <w:rsid w:val="003861AD"/>
    <w:rsid w:val="003B49EC"/>
    <w:rsid w:val="003D61E7"/>
    <w:rsid w:val="004773BC"/>
    <w:rsid w:val="004A0F9E"/>
    <w:rsid w:val="004A2F7E"/>
    <w:rsid w:val="004E51D9"/>
    <w:rsid w:val="00511E34"/>
    <w:rsid w:val="0052620E"/>
    <w:rsid w:val="00573B43"/>
    <w:rsid w:val="00576BD9"/>
    <w:rsid w:val="005805A8"/>
    <w:rsid w:val="005F478A"/>
    <w:rsid w:val="005F5BBC"/>
    <w:rsid w:val="00600D46"/>
    <w:rsid w:val="00610126"/>
    <w:rsid w:val="006178D1"/>
    <w:rsid w:val="0067259E"/>
    <w:rsid w:val="00685928"/>
    <w:rsid w:val="00696B27"/>
    <w:rsid w:val="006E20A1"/>
    <w:rsid w:val="00726CCD"/>
    <w:rsid w:val="0079788E"/>
    <w:rsid w:val="007C05D9"/>
    <w:rsid w:val="007D510E"/>
    <w:rsid w:val="00863C1D"/>
    <w:rsid w:val="00870750"/>
    <w:rsid w:val="008A548D"/>
    <w:rsid w:val="008B798F"/>
    <w:rsid w:val="00910178"/>
    <w:rsid w:val="00916FFE"/>
    <w:rsid w:val="00922B75"/>
    <w:rsid w:val="00932C0A"/>
    <w:rsid w:val="00975EB1"/>
    <w:rsid w:val="009967D1"/>
    <w:rsid w:val="009A3FAD"/>
    <w:rsid w:val="009E7A10"/>
    <w:rsid w:val="009F104D"/>
    <w:rsid w:val="00A03CBD"/>
    <w:rsid w:val="00A22F1B"/>
    <w:rsid w:val="00A23A98"/>
    <w:rsid w:val="00A63F7A"/>
    <w:rsid w:val="00A67D31"/>
    <w:rsid w:val="00A749AB"/>
    <w:rsid w:val="00A9099B"/>
    <w:rsid w:val="00AA3CDE"/>
    <w:rsid w:val="00AA7A56"/>
    <w:rsid w:val="00AB3719"/>
    <w:rsid w:val="00B347BD"/>
    <w:rsid w:val="00B35C40"/>
    <w:rsid w:val="00B51995"/>
    <w:rsid w:val="00B52D5E"/>
    <w:rsid w:val="00B53CCA"/>
    <w:rsid w:val="00B96DDC"/>
    <w:rsid w:val="00BA5B49"/>
    <w:rsid w:val="00BB5FCB"/>
    <w:rsid w:val="00BC5A9C"/>
    <w:rsid w:val="00C15ABD"/>
    <w:rsid w:val="00C7082F"/>
    <w:rsid w:val="00C76B91"/>
    <w:rsid w:val="00CC2D8C"/>
    <w:rsid w:val="00CD5DE4"/>
    <w:rsid w:val="00CE4586"/>
    <w:rsid w:val="00CE70BE"/>
    <w:rsid w:val="00D06E14"/>
    <w:rsid w:val="00D10C52"/>
    <w:rsid w:val="00D114E7"/>
    <w:rsid w:val="00D15A53"/>
    <w:rsid w:val="00D365BD"/>
    <w:rsid w:val="00D60ADF"/>
    <w:rsid w:val="00D72122"/>
    <w:rsid w:val="00D91752"/>
    <w:rsid w:val="00D95F43"/>
    <w:rsid w:val="00DA0EDB"/>
    <w:rsid w:val="00DA6179"/>
    <w:rsid w:val="00DA7FA5"/>
    <w:rsid w:val="00DB1CB4"/>
    <w:rsid w:val="00E002F0"/>
    <w:rsid w:val="00E017FC"/>
    <w:rsid w:val="00E04A41"/>
    <w:rsid w:val="00E30B1E"/>
    <w:rsid w:val="00E31DEF"/>
    <w:rsid w:val="00E55294"/>
    <w:rsid w:val="00E646FD"/>
    <w:rsid w:val="00E76238"/>
    <w:rsid w:val="00E97A12"/>
    <w:rsid w:val="00EA6F05"/>
    <w:rsid w:val="00ED491D"/>
    <w:rsid w:val="00F11ED6"/>
    <w:rsid w:val="00F14EF0"/>
    <w:rsid w:val="00F334B1"/>
    <w:rsid w:val="00F65110"/>
    <w:rsid w:val="00F842D7"/>
    <w:rsid w:val="00FA12E9"/>
    <w:rsid w:val="00FC6A0D"/>
    <w:rsid w:val="00FD2C2A"/>
    <w:rsid w:val="00FD74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DE4"/>
  </w:style>
  <w:style w:type="paragraph" w:styleId="Titre3">
    <w:name w:val="heading 3"/>
    <w:basedOn w:val="Normal"/>
    <w:link w:val="Titre3Car"/>
    <w:uiPriority w:val="9"/>
    <w:qFormat/>
    <w:rsid w:val="00DA7FA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DA7FA5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A7F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DA7FA5"/>
    <w:rPr>
      <w:i/>
      <w:iCs/>
    </w:rPr>
  </w:style>
  <w:style w:type="character" w:customStyle="1" w:styleId="apple-converted-space">
    <w:name w:val="apple-converted-space"/>
    <w:basedOn w:val="Policepardfaut"/>
    <w:rsid w:val="00DA7FA5"/>
  </w:style>
  <w:style w:type="paragraph" w:styleId="Textedebulles">
    <w:name w:val="Balloon Text"/>
    <w:basedOn w:val="Normal"/>
    <w:link w:val="TextedebullesCar"/>
    <w:uiPriority w:val="99"/>
    <w:semiHidden/>
    <w:unhideWhenUsed/>
    <w:rsid w:val="00DA7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A7FA5"/>
    <w:rPr>
      <w:rFonts w:ascii="Tahoma" w:hAnsi="Tahoma" w:cs="Tahoma"/>
      <w:sz w:val="16"/>
      <w:szCs w:val="16"/>
    </w:rPr>
  </w:style>
  <w:style w:type="character" w:styleId="lev">
    <w:name w:val="Strong"/>
    <w:basedOn w:val="Policepardfaut"/>
    <w:uiPriority w:val="22"/>
    <w:qFormat/>
    <w:rsid w:val="00F842D7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63C1D"/>
  </w:style>
  <w:style w:type="paragraph" w:styleId="Pieddepage">
    <w:name w:val="footer"/>
    <w:basedOn w:val="Normal"/>
    <w:link w:val="PieddepageCar"/>
    <w:uiPriority w:val="99"/>
    <w:semiHidden/>
    <w:unhideWhenUsed/>
    <w:rsid w:val="00863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63C1D"/>
  </w:style>
  <w:style w:type="paragraph" w:styleId="Paragraphedeliste">
    <w:name w:val="List Paragraph"/>
    <w:basedOn w:val="Normal"/>
    <w:uiPriority w:val="34"/>
    <w:qFormat/>
    <w:rsid w:val="00A23A98"/>
    <w:pPr>
      <w:ind w:left="720"/>
      <w:contextualSpacing/>
    </w:pPr>
  </w:style>
  <w:style w:type="paragraph" w:styleId="Sansinterligne">
    <w:name w:val="No Spacing"/>
    <w:link w:val="SansinterligneCar"/>
    <w:uiPriority w:val="1"/>
    <w:qFormat/>
    <w:rsid w:val="00DA0EDB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A0EDB"/>
    <w:rPr>
      <w:rFonts w:eastAsiaTheme="minorEastAsia"/>
    </w:rPr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67259E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67259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67259E"/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textexposedshow">
    <w:name w:val="text_exposed_show"/>
    <w:basedOn w:val="Policepardfaut"/>
    <w:rsid w:val="00E30B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7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2653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2841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Urbain">
      <a:dk1>
        <a:sysClr val="windowText" lastClr="000000"/>
      </a:dk1>
      <a:lt1>
        <a:sysClr val="window" lastClr="FFFFFF"/>
      </a:lt1>
      <a:dk2>
        <a:srgbClr val="424456"/>
      </a:dk2>
      <a:lt2>
        <a:srgbClr val="DEDEDE"/>
      </a:lt2>
      <a:accent1>
        <a:srgbClr val="53548A"/>
      </a:accent1>
      <a:accent2>
        <a:srgbClr val="438086"/>
      </a:accent2>
      <a:accent3>
        <a:srgbClr val="A04DA3"/>
      </a:accent3>
      <a:accent4>
        <a:srgbClr val="C4652D"/>
      </a:accent4>
      <a:accent5>
        <a:srgbClr val="8B5D3D"/>
      </a:accent5>
      <a:accent6>
        <a:srgbClr val="5C92B5"/>
      </a:accent6>
      <a:hlink>
        <a:srgbClr val="67AFBD"/>
      </a:hlink>
      <a:folHlink>
        <a:srgbClr val="C2A87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91534-02E1-45C0-9CB6-E8CF626EC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542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Aminou</dc:creator>
  <cp:lastModifiedBy>Aminou</cp:lastModifiedBy>
  <cp:revision>7</cp:revision>
  <cp:lastPrinted>2015-06-03T21:56:00Z</cp:lastPrinted>
  <dcterms:created xsi:type="dcterms:W3CDTF">2015-06-10T22:46:00Z</dcterms:created>
  <dcterms:modified xsi:type="dcterms:W3CDTF">2015-06-11T08:34:00Z</dcterms:modified>
</cp:coreProperties>
</file>